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both"/>
        <w:rPr>
          <w:rStyle w:val="Ninguno"/>
          <w:rFonts w:ascii="Times New Roman" w:cs="Times New Roman" w:hAnsi="Times New Roman" w:eastAsia="Times New Roman"/>
          <w:outline w:val="0"/>
          <w:color w:val="ff0000"/>
          <w:kern w:val="0"/>
          <w:u w:color="ff0000"/>
          <w14:textFill>
            <w14:solidFill>
              <w14:srgbClr w14:val="FF0000"/>
            </w14:solidFill>
          </w14:textFill>
        </w:rPr>
      </w:pPr>
      <w:r>
        <w:rPr>
          <w:rStyle w:val="Ninguno"/>
          <w:rFonts w:ascii="Times New Roman" w:hAnsi="Times New Roman" w:hint="default"/>
          <w:outline w:val="0"/>
          <w:color w:val="ff0000"/>
          <w:kern w:val="0"/>
          <w:u w:color="ff0000"/>
          <w:rtl w:val="0"/>
          <w:lang w:val="es-ES_tradnl"/>
          <w14:textFill>
            <w14:solidFill>
              <w14:srgbClr w14:val="FF0000"/>
            </w14:solidFill>
          </w14:textFill>
        </w:rPr>
        <w:t> </w:t>
      </w:r>
    </w:p>
    <w:p>
      <w:pPr>
        <w:pStyle w:val="Cuerpo"/>
        <w:jc w:val="both"/>
        <w:rPr>
          <w:rStyle w:val="Ninguno"/>
          <w:rFonts w:ascii="Times New Roman" w:cs="Times New Roman" w:hAnsi="Times New Roman" w:eastAsia="Times New Roman"/>
          <w:outline w:val="0"/>
          <w:color w:val="ff0000"/>
          <w:kern w:val="0"/>
          <w:u w:color="ff0000"/>
          <w14:textFill>
            <w14:solidFill>
              <w14:srgbClr w14:val="FF0000"/>
            </w14:solidFill>
          </w14:textFill>
        </w:rPr>
      </w:pPr>
      <w:r>
        <w:rPr>
          <w:rStyle w:val="Ninguno"/>
          <w:rFonts w:ascii="Times New Roman" w:hAnsi="Times New Roman" w:hint="default"/>
          <w:outline w:val="0"/>
          <w:color w:val="ff0000"/>
          <w:kern w:val="0"/>
          <w:u w:color="ff0000"/>
          <w:rtl w:val="0"/>
          <w:lang w:val="es-ES_tradnl"/>
          <w14:textFill>
            <w14:solidFill>
              <w14:srgbClr w14:val="FF0000"/>
            </w14:solidFill>
          </w14:textFill>
        </w:rPr>
        <w:t> </w:t>
      </w:r>
    </w:p>
    <w:p>
      <w:pPr>
        <w:pStyle w:val="Cuerpo"/>
        <w:jc w:val="center"/>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b w:val="1"/>
          <w:bCs w:val="1"/>
          <w:outline w:val="0"/>
          <w:color w:val="212121"/>
          <w:kern w:val="0"/>
          <w:u w:val="single" w:color="212121"/>
          <w:rtl w:val="0"/>
          <w:lang w:val="en-US"/>
          <w14:textFill>
            <w14:solidFill>
              <w14:srgbClr w14:val="212121"/>
            </w14:solidFill>
          </w14:textFill>
        </w:rPr>
        <w:t>RULES FOR THE SELECTION OF CANDIDATES TO PARTICIPATE IN THE 2025 SPANISH FORMULA 4 CHAMPIONSHIP (Certified by FIA), TO BE APPLIED BY THE ORGANIZING COMMITTEE.</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pBdr>
          <w:top w:val="single" w:color="000000" w:sz="4" w:space="0" w:shadow="0" w:frame="0"/>
          <w:left w:val="single" w:color="000000" w:sz="4" w:space="0" w:shadow="0" w:frame="0"/>
          <w:bottom w:val="single" w:color="000000" w:sz="4" w:space="0" w:shadow="0" w:frame="0"/>
          <w:right w:val="single" w:color="000000" w:sz="4" w:space="0" w:shadow="0" w:frame="0"/>
        </w:pBdr>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These rules, which were already approved by the RFEDA Executive Commission for 2024, will be submitted to the RFEDA Executive Commission for ratification to provide regulatory coverage to the commitments, rights, and obligations outlined in the bulletin or registration form signed by the teams, which is similar to last year</w:t>
      </w:r>
      <w:r>
        <w:rPr>
          <w:rStyle w:val="Ninguno"/>
          <w:rFonts w:ascii="Times New Roman" w:hAnsi="Times New Roman" w:hint="default"/>
          <w:outline w:val="0"/>
          <w:color w:val="212121"/>
          <w:kern w:val="0"/>
          <w:u w:color="212121"/>
          <w:rtl w:val="1"/>
          <w14:textFill>
            <w14:solidFill>
              <w14:srgbClr w14:val="212121"/>
            </w14:solidFill>
          </w14:textFill>
        </w:rPr>
        <w:t>’</w:t>
      </w:r>
      <w:r>
        <w:rPr>
          <w:rStyle w:val="Ninguno"/>
          <w:rFonts w:ascii="Times New Roman" w:hAnsi="Times New Roman"/>
          <w:outline w:val="0"/>
          <w:color w:val="212121"/>
          <w:kern w:val="0"/>
          <w:u w:color="212121"/>
          <w:rtl w:val="0"/>
          <w:lang w:val="it-IT"/>
          <w14:textFill>
            <w14:solidFill>
              <w14:srgbClr w14:val="212121"/>
            </w14:solidFill>
          </w14:textFill>
        </w:rPr>
        <w:t>s version.</w:t>
      </w:r>
    </w:p>
    <w:p>
      <w:pPr>
        <w:pStyle w:val="Cuerpo"/>
        <w:pBdr>
          <w:top w:val="single" w:color="000000" w:sz="4" w:space="0" w:shadow="0" w:frame="0"/>
          <w:left w:val="single" w:color="000000" w:sz="4" w:space="0" w:shadow="0" w:frame="0"/>
          <w:bottom w:val="single" w:color="000000" w:sz="4" w:space="0" w:shadow="0" w:frame="0"/>
          <w:right w:val="single" w:color="000000" w:sz="4" w:space="0" w:shadow="0" w:frame="0"/>
        </w:pBdr>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pBdr>
          <w:top w:val="single" w:color="000000" w:sz="4" w:space="0" w:shadow="0" w:frame="0"/>
          <w:left w:val="single" w:color="000000" w:sz="4" w:space="0" w:shadow="0" w:frame="0"/>
          <w:bottom w:val="single" w:color="000000" w:sz="4" w:space="0" w:shadow="0" w:frame="0"/>
          <w:right w:val="single" w:color="000000" w:sz="4" w:space="0" w:shadow="0" w:frame="0"/>
        </w:pBdr>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These rules will be available on the RFEDA and the Spanish Formula 4 Championship websites and will be public and applicable starting December 3, 2024.</w:t>
      </w:r>
    </w:p>
    <w:p>
      <w:pPr>
        <w:pStyle w:val="Cuerpo"/>
        <w:pBdr>
          <w:top w:val="single" w:color="000000" w:sz="4" w:space="0" w:shadow="0" w:frame="0"/>
          <w:left w:val="single" w:color="000000" w:sz="4" w:space="0" w:shadow="0" w:frame="0"/>
          <w:bottom w:val="single" w:color="000000" w:sz="4" w:space="0" w:shadow="0" w:frame="0"/>
          <w:right w:val="single" w:color="000000" w:sz="4" w:space="0" w:shadow="0" w:frame="0"/>
        </w:pBdr>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pBdr>
          <w:top w:val="single" w:color="000000" w:sz="4" w:space="0" w:shadow="0" w:frame="0"/>
          <w:left w:val="single" w:color="000000" w:sz="4" w:space="0" w:shadow="0" w:frame="0"/>
          <w:bottom w:val="single" w:color="000000" w:sz="4" w:space="0" w:shadow="0" w:frame="0"/>
          <w:right w:val="single" w:color="000000" w:sz="4" w:space="0" w:shadow="0" w:frame="0"/>
        </w:pBdr>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These Selection Rules are part of the 2025 Spanish Formula 4 Championship Sporting Regulations, with the same regulatory status.</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0070c0"/>
          <w:kern w:val="0"/>
          <w:u w:color="0070c0"/>
          <w14:textFill>
            <w14:solidFill>
              <w14:srgbClr w14:val="0070C0"/>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 Teams wishing to participate in the CEF4 2025 must submit a pre-reservation application, addressed to the CEF4 Organizing Committee (RFEDA, c/ Escultor Peresejo n</w:t>
      </w:r>
      <w:r>
        <w:rPr>
          <w:rStyle w:val="Ninguno"/>
          <w:rFonts w:ascii="Times New Roman" w:hAnsi="Times New Roman" w:hint="default"/>
          <w:outline w:val="0"/>
          <w:color w:val="212121"/>
          <w:kern w:val="0"/>
          <w:u w:color="212121"/>
          <w:rtl w:val="0"/>
          <w14:textFill>
            <w14:solidFill>
              <w14:srgbClr w14:val="212121"/>
            </w14:solidFill>
          </w14:textFill>
        </w:rPr>
        <w:t xml:space="preserve">º </w:t>
      </w:r>
      <w:r>
        <w:rPr>
          <w:rStyle w:val="Ninguno"/>
          <w:rFonts w:ascii="Times New Roman" w:hAnsi="Times New Roman"/>
          <w:outline w:val="0"/>
          <w:color w:val="212121"/>
          <w:kern w:val="0"/>
          <w:u w:color="212121"/>
          <w:rtl w:val="0"/>
          <w:lang w:val="en-US"/>
          <w14:textFill>
            <w14:solidFill>
              <w14:srgbClr w14:val="212121"/>
            </w14:solidFill>
          </w14:textFill>
        </w:rPr>
        <w:t>68 bis, (28023 Madrid), or by</w:t>
      </w:r>
      <w:r>
        <w:rPr>
          <w:rStyle w:val="Ninguno"/>
          <w:rFonts w:ascii="Times New Roman" w:hAnsi="Times New Roman"/>
          <w:outline w:val="0"/>
          <w:color w:val="212121"/>
          <w:kern w:val="0"/>
          <w:u w:color="212121"/>
          <w:rtl w:val="0"/>
          <w:lang w:val="es-ES_tradnl"/>
          <w14:textFill>
            <w14:solidFill>
              <w14:srgbClr w14:val="212121"/>
            </w14:solidFill>
          </w14:textFill>
        </w:rPr>
        <w:t>c</w:t>
      </w:r>
      <w:r>
        <w:rPr>
          <w:rStyle w:val="Ninguno"/>
          <w:rFonts w:ascii="Times New Roman" w:hAnsi="Times New Roman"/>
          <w:outline w:val="0"/>
          <w:color w:val="212121"/>
          <w:kern w:val="0"/>
          <w:u w:color="212121"/>
          <w:rtl w:val="0"/>
          <w:lang w:val="it-IT"/>
          <w14:textFill>
            <w14:solidFill>
              <w14:srgbClr w14:val="212121"/>
            </w14:solidFill>
          </w14:textFill>
        </w:rPr>
        <w:t xml:space="preserve">email to: </w:t>
      </w:r>
      <w:r>
        <w:rPr>
          <w:rStyle w:val="Hyperlink.0"/>
        </w:rPr>
        <w:fldChar w:fldCharType="begin" w:fldLock="0"/>
      </w:r>
      <w:r>
        <w:rPr>
          <w:rStyle w:val="Hyperlink.0"/>
        </w:rPr>
        <w:instrText xml:space="preserve"> HYPERLINK "mailto:luis.gonz%C3%A1lez@rfeda.es"</w:instrText>
      </w:r>
      <w:r>
        <w:rPr>
          <w:rStyle w:val="Hyperlink.0"/>
        </w:rPr>
        <w:fldChar w:fldCharType="separate" w:fldLock="0"/>
      </w:r>
      <w:r>
        <w:rPr>
          <w:rStyle w:val="Hyperlink.0"/>
          <w:rtl w:val="0"/>
          <w:lang w:val="it-IT"/>
        </w:rPr>
        <w:t>luis.gonz</w:t>
      </w:r>
      <w:r>
        <w:rPr>
          <w:rStyle w:val="Enlace"/>
          <w:rFonts w:ascii="Times New Roman" w:hAnsi="Times New Roman" w:hint="default"/>
          <w:kern w:val="0"/>
          <w:rtl w:val="0"/>
          <w:lang w:val="es-ES_tradnl"/>
        </w:rPr>
        <w:t>á</w:t>
      </w:r>
      <w:r>
        <w:rPr>
          <w:rStyle w:val="Hyperlink.0"/>
          <w:rtl w:val="0"/>
        </w:rPr>
        <w:t>lez@rfeda.es</w:t>
      </w:r>
      <w:r>
        <w:rPr/>
        <w:fldChar w:fldCharType="end" w:fldLock="0"/>
      </w:r>
      <w:r>
        <w:rPr>
          <w:rStyle w:val="Ninguno"/>
          <w:rFonts w:ascii="Times New Roman" w:hAnsi="Times New Roman"/>
          <w:outline w:val="0"/>
          <w:color w:val="0070c0"/>
          <w:kern w:val="0"/>
          <w:u w:color="0070c0"/>
          <w:rtl w:val="0"/>
          <w14:textFill>
            <w14:solidFill>
              <w14:srgbClr w14:val="0070C0"/>
            </w14:solidFill>
          </w14:textFill>
        </w:rPr>
        <w:t xml:space="preserve">  </w:t>
      </w:r>
      <w:r>
        <w:rPr>
          <w:rStyle w:val="Ninguno"/>
          <w:rFonts w:ascii="Times New Roman" w:hAnsi="Times New Roman"/>
          <w:outline w:val="0"/>
          <w:color w:val="0070c0"/>
          <w:kern w:val="0"/>
          <w:u w:color="0070c0"/>
          <w:rtl w:val="0"/>
          <w:lang w:val="es-ES_tradnl"/>
          <w14:textFill>
            <w14:solidFill>
              <w14:srgbClr w14:val="0070C0"/>
            </w14:solidFill>
          </w14:textFill>
        </w:rPr>
        <w:t xml:space="preserve"> </w:t>
      </w:r>
      <w:r>
        <w:rPr>
          <w:rStyle w:val="Ninguno"/>
          <w:rFonts w:ascii="Times New Roman" w:hAnsi="Times New Roman"/>
          <w:outline w:val="0"/>
          <w:color w:val="0070c0"/>
          <w:kern w:val="0"/>
          <w:u w:color="0070c0"/>
          <w:rtl w:val="0"/>
          <w14:textFill>
            <w14:solidFill>
              <w14:srgbClr w14:val="0070C0"/>
            </w14:solidFill>
          </w14:textFill>
        </w:rPr>
        <w:t xml:space="preserve">or </w:t>
      </w:r>
      <w:r>
        <w:rPr>
          <w:rStyle w:val="Hyperlink.0"/>
        </w:rPr>
        <w:fldChar w:fldCharType="begin" w:fldLock="0"/>
      </w:r>
      <w:r>
        <w:rPr>
          <w:rStyle w:val="Hyperlink.0"/>
        </w:rPr>
        <w:instrText xml:space="preserve"> HYPERLINK "mailto:paloma.izquierdo@rfeda.es"</w:instrText>
      </w:r>
      <w:r>
        <w:rPr>
          <w:rStyle w:val="Hyperlink.0"/>
        </w:rPr>
        <w:fldChar w:fldCharType="separate" w:fldLock="0"/>
      </w:r>
      <w:r>
        <w:rPr>
          <w:rStyle w:val="Hyperlink.0"/>
          <w:rtl w:val="0"/>
          <w:lang w:val="es-ES_tradnl"/>
        </w:rPr>
        <w:t>paloma.izquierdo@rfeda.es</w:t>
      </w:r>
      <w:r>
        <w:rPr/>
        <w:fldChar w:fldCharType="end" w:fldLock="0"/>
      </w:r>
      <w:r>
        <w:rPr>
          <w:rStyle w:val="Ninguno"/>
          <w:rFonts w:ascii="Times New Roman" w:hAnsi="Times New Roman"/>
          <w:outline w:val="0"/>
          <w:color w:val="0070c0"/>
          <w:kern w:val="0"/>
          <w:u w:color="0070c0"/>
          <w:rtl w:val="0"/>
          <w14:textFill>
            <w14:solidFill>
              <w14:srgbClr w14:val="0070C0"/>
            </w14:solidFill>
          </w14:textFill>
        </w:rPr>
        <w:t xml:space="preserve"> </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1.1./ These applications must be received between December 4 and December 16, 2024.</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1.2./ Each applicant team (understood as a valid contestant license in 2024) may request the registration of a minimum of two cars and a maximum of three to participate in the CEF4 2025.</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 xml:space="preserve">1.3./ Each application must be accompanied by proof of payment into the account: IBAN: ES33 2100 9193 5522 0034 0471 - SWIFT: CAIXESBBXXX at LA CAIXA Bank, in the name of RFEDA, for the amount of </w:t>
      </w:r>
      <w:r>
        <w:rPr>
          <w:rStyle w:val="Ninguno"/>
          <w:rFonts w:ascii="Times New Roman" w:hAnsi="Times New Roman" w:hint="default"/>
          <w:outline w:val="0"/>
          <w:color w:val="212121"/>
          <w:kern w:val="0"/>
          <w:u w:color="212121"/>
          <w:rtl w:val="0"/>
          <w:lang w:val="pt-PT"/>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10,000.00 per vehicle, as a deposit or guarantee.</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1.4./ If the pre-reservation is accepted by December 16, 2024, the deposit will count toward the payment of the entry fees for the 2025 Championship, when required.</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1.5./ If the pre-reservation is not accepted, the RFEDA will refund the amount received for the rejected application.</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1.6./ If the pre-reservation is accepted, and the team fails to register the vehicles within the reserved spots on time and in proper form, they will forfeit the deposit and will not be able to recover it throughout the season, nor request wild cards, if authorized. (If the failure to register a car is due to force majeure, duly accredited, and at the discretion of the Organizing Committee, the deposit may be refunded).</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 Applicants must submit, along with the pre-reservation application, documents proving their competitive experience, sports structure, and financial solvency.</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2.1./ Prior experience in Formula 4, particularly in the CEF4, will be valued.</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 The sports and economic/business CV of a team may be extended, exclusively, to a second subsidiary team, provided that this second team has a valid and different contestant license and both teams agree to accept the participation requirements of a second team with the same origin, which are as follows:</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2.2.1./ The final name of the team must be expressly accepted by the CEF4 Organizing Committee (CO).</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2.2.2./ The external presentation (livery) of the cars must be distinctly different and subject to approval by the CEF4 CO.</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2.2.3./ The personnel</w:t>
      </w:r>
      <w:r>
        <w:rPr>
          <w:rStyle w:val="Ninguno"/>
          <w:rFonts w:ascii="Times New Roman" w:hAnsi="Times New Roman" w:hint="default"/>
          <w:outline w:val="0"/>
          <w:color w:val="212121"/>
          <w:kern w:val="0"/>
          <w:u w:color="212121"/>
          <w:rtl w:val="1"/>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s equipment for each team must be different and also subject to approval by the CEF4 CO.</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2.2.4./ Use of different boxes (although they may be adjacent).</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2.2.5./ Different contestant licenses for the entire season and the appointment of a different representative for each team.</w:t>
      </w: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Cuerpo"/>
        <w:jc w:val="both"/>
        <w:rPr>
          <w:rStyle w:val="Ninguno"/>
          <w:rFonts w:ascii="Times New Roman" w:cs="Times New Roman" w:hAnsi="Times New Roman" w:eastAsia="Times New Roman"/>
          <w:outline w:val="0"/>
          <w:color w:val="212121"/>
          <w:kern w:val="0"/>
          <w:u w:color="212121"/>
          <w14:textFill>
            <w14:solidFill>
              <w14:srgbClr w14:val="212121"/>
            </w14:solidFill>
          </w14:textFill>
        </w:rPr>
      </w:pP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pt-PT"/>
          <w14:textFill>
            <w14:solidFill>
              <w14:srgbClr w14:val="212121"/>
            </w14:solidFill>
          </w14:textFill>
        </w:rPr>
        <w:t>3./ DEADLINES</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b w:val="1"/>
          <w:bCs w:val="1"/>
          <w:outline w:val="0"/>
          <w:color w:val="212121"/>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 xml:space="preserve">3.1./ As established in point 1.1, </w:t>
      </w:r>
      <w:r>
        <w:rPr>
          <w:rStyle w:val="Ninguno"/>
          <w:rFonts w:ascii="Times New Roman" w:hAnsi="Times New Roman"/>
          <w:b w:val="1"/>
          <w:bCs w:val="1"/>
          <w:outline w:val="0"/>
          <w:color w:val="212121"/>
          <w:u w:color="212121"/>
          <w:rtl w:val="0"/>
          <w:lang w:val="en-US"/>
          <w14:textFill>
            <w14:solidFill>
              <w14:srgbClr w14:val="212121"/>
            </w14:solidFill>
          </w14:textFill>
        </w:rPr>
        <w:t>pre-reservation applications must be submitted along with the necessary documents between December 4 and December 16, 2024.</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b w:val="1"/>
          <w:bCs w:val="1"/>
          <w:outline w:val="0"/>
          <w:color w:val="212121"/>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 xml:space="preserve">3.2./ The CEF4 Organizing Committee will meet on Tuesday, December 17, 2024, to select the </w:t>
      </w:r>
      <w:r>
        <w:rPr>
          <w:rStyle w:val="Ninguno"/>
          <w:rFonts w:ascii="Times New Roman" w:hAnsi="Times New Roman"/>
          <w:b w:val="1"/>
          <w:bCs w:val="1"/>
          <w:outline w:val="0"/>
          <w:color w:val="212121"/>
          <w:u w:color="212121"/>
          <w:rtl w:val="0"/>
          <w:lang w:val="en-US"/>
          <w14:textFill>
            <w14:solidFill>
              <w14:srgbClr w14:val="212121"/>
            </w14:solidFill>
          </w14:textFill>
        </w:rPr>
        <w:t>maximum of 37 spots that may participate in the CEF4 2025.</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3.3./ On December 17, 2024, the names of the selected teams and the number of vehicles from each team will be publicly announced. Additionally, if applicable, the teams placed on standby and their order will be indicated.</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3.4./ The final registration deadline for CEF4 teams and vehicles pre-approved for 2025 is January 17, 2025. Teams must formalize their documentation and pay the registration fees to ADF4S. This entity will inform the RFEDA about the teams that formalize their registrations before this date so that the RFEDA can transfer the amounts of the deposits to the ADF4S bank account for those teams.</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3.5./ Unregistered spots by January 17, 2025, may be filled by applications from teams on standby, in their order, at the discretion of the CEF4 CO.</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3.6./ Teams that do not register one of their cars by January 17 will lose their pre-reservation deposit, as stated in point 1.6.</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3.7./ Between January 17 and January 31, 2025, ADF4S and RFEDA will reconcile the received registrations and the deposited guarantees to ensure that ADF4S has the complete registration rights for the vehicles registered in time.</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4./ If a contestant does not fill all the spots allocated to them in a CEF4 2025 event</w:t>
      </w:r>
      <w:r>
        <w:rPr>
          <w:rStyle w:val="Ninguno"/>
          <w:rFonts w:ascii="Times New Roman" w:hAnsi="Times New Roman" w:hint="default"/>
          <w:outline w:val="0"/>
          <w:color w:val="212121"/>
          <w:kern w:val="0"/>
          <w:u w:color="212121"/>
          <w:rtl w:val="0"/>
          <w:lang w:val="en-US"/>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unless force majeure can be proven, accepted by the CEF4 CO</w:t>
      </w:r>
      <w:r>
        <w:rPr>
          <w:rStyle w:val="Ninguno"/>
          <w:rFonts w:ascii="Times New Roman" w:hAnsi="Times New Roman" w:hint="default"/>
          <w:outline w:val="0"/>
          <w:color w:val="212121"/>
          <w:kern w:val="0"/>
          <w:u w:color="212121"/>
          <w:rtl w:val="0"/>
          <w:lang w:val="en-US"/>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 xml:space="preserve">the team must pay a penalty of </w:t>
      </w:r>
      <w:r>
        <w:rPr>
          <w:rStyle w:val="Ninguno"/>
          <w:rFonts w:ascii="Times New Roman" w:hAnsi="Times New Roman" w:hint="default"/>
          <w:outline w:val="0"/>
          <w:color w:val="212121"/>
          <w:kern w:val="0"/>
          <w:u w:color="212121"/>
          <w:rtl w:val="0"/>
          <w:lang w:val="pt-PT"/>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 xml:space="preserve">10,000.00 the first time this occurs; </w:t>
      </w:r>
      <w:r>
        <w:rPr>
          <w:rStyle w:val="Ninguno"/>
          <w:rFonts w:ascii="Times New Roman" w:hAnsi="Times New Roman" w:hint="default"/>
          <w:outline w:val="0"/>
          <w:color w:val="212121"/>
          <w:kern w:val="0"/>
          <w:u w:color="212121"/>
          <w:rtl w:val="0"/>
          <w:lang w:val="pt-PT"/>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 xml:space="preserve">20,000.00 the second time; and </w:t>
      </w:r>
      <w:r>
        <w:rPr>
          <w:rStyle w:val="Ninguno"/>
          <w:rFonts w:ascii="Times New Roman" w:hAnsi="Times New Roman" w:hint="default"/>
          <w:outline w:val="0"/>
          <w:color w:val="212121"/>
          <w:kern w:val="0"/>
          <w:u w:color="212121"/>
          <w:rtl w:val="0"/>
          <w:lang w:val="pt-PT"/>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30,000.00 for a third occurrence. In this last case, if a contestant fails to occupy all their allocated spots during three different events, the team will lose the spot for the rest of the championship or even for the following year</w:t>
      </w:r>
      <w:r>
        <w:rPr>
          <w:rStyle w:val="Ninguno"/>
          <w:rFonts w:ascii="Times New Roman" w:hAnsi="Times New Roman" w:hint="default"/>
          <w:outline w:val="0"/>
          <w:color w:val="212121"/>
          <w:kern w:val="0"/>
          <w:u w:color="212121"/>
          <w:rtl w:val="1"/>
          <w14:textFill>
            <w14:solidFill>
              <w14:srgbClr w14:val="212121"/>
            </w14:solidFill>
          </w14:textFill>
        </w:rPr>
        <w:t>’</w:t>
      </w:r>
      <w:r>
        <w:rPr>
          <w:rStyle w:val="Ninguno"/>
          <w:rFonts w:ascii="Times New Roman" w:hAnsi="Times New Roman"/>
          <w:outline w:val="0"/>
          <w:color w:val="212121"/>
          <w:kern w:val="0"/>
          <w:u w:color="212121"/>
          <w:rtl w:val="0"/>
          <w:lang w:val="en-US"/>
          <w14:textFill>
            <w14:solidFill>
              <w14:srgbClr w14:val="212121"/>
            </w14:solidFill>
          </w14:textFill>
        </w:rPr>
        <w:t>s championship, at the discretion of the CEF4 CO.</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b w:val="1"/>
          <w:bCs w:val="1"/>
          <w:outline w:val="0"/>
          <w:color w:val="212121"/>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 xml:space="preserve">4.1./ Teams commit to taking necessary measures to ensure that the responsible driver for any unjustified absence will bear the cost of the penalty resulting from their actions. In this regard, </w:t>
      </w:r>
      <w:r>
        <w:rPr>
          <w:rStyle w:val="Ninguno"/>
          <w:rFonts w:ascii="Times New Roman" w:hAnsi="Times New Roman"/>
          <w:b w:val="1"/>
          <w:bCs w:val="1"/>
          <w:outline w:val="0"/>
          <w:color w:val="212121"/>
          <w:u w:color="212121"/>
          <w:rtl w:val="0"/>
          <w:lang w:val="en-US"/>
          <w14:textFill>
            <w14:solidFill>
              <w14:srgbClr w14:val="212121"/>
            </w14:solidFill>
          </w14:textFill>
        </w:rPr>
        <w:t>contracts between drivers and teams must include a specific clause stating that the driver is responsible for paying any fines or penalties imposed during the season due to the driver</w:t>
      </w:r>
      <w:r>
        <w:rPr>
          <w:rStyle w:val="Ninguno"/>
          <w:rFonts w:ascii="Times New Roman" w:hAnsi="Times New Roman" w:hint="default"/>
          <w:b w:val="1"/>
          <w:bCs w:val="1"/>
          <w:outline w:val="0"/>
          <w:color w:val="212121"/>
          <w:u w:color="212121"/>
          <w:rtl w:val="1"/>
          <w14:textFill>
            <w14:solidFill>
              <w14:srgbClr w14:val="212121"/>
            </w14:solidFill>
          </w14:textFill>
        </w:rPr>
        <w:t>’</w:t>
      </w:r>
      <w:r>
        <w:rPr>
          <w:rStyle w:val="Ninguno"/>
          <w:rFonts w:ascii="Times New Roman" w:hAnsi="Times New Roman"/>
          <w:b w:val="1"/>
          <w:bCs w:val="1"/>
          <w:outline w:val="0"/>
          <w:color w:val="212121"/>
          <w:u w:color="212121"/>
          <w:rtl w:val="0"/>
          <w14:textFill>
            <w14:solidFill>
              <w14:srgbClr w14:val="212121"/>
            </w14:solidFill>
          </w14:textFill>
        </w:rPr>
        <w:t>s conduct.</w:t>
      </w: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p>
    <w:p>
      <w:pPr>
        <w:pStyle w:val="Por omisión"/>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0" w:after="240" w:line="240" w:lineRule="auto"/>
        <w:ind w:left="0" w:right="0" w:firstLine="0"/>
        <w:jc w:val="left"/>
        <w:rPr>
          <w:rStyle w:val="Ninguno"/>
          <w:rFonts w:ascii="Times New Roman" w:cs="Times New Roman" w:hAnsi="Times New Roman" w:eastAsia="Times New Roman"/>
          <w:outline w:val="0"/>
          <w:color w:val="212121"/>
          <w:kern w:val="0"/>
          <w:u w:color="212121"/>
          <w:rtl w:val="0"/>
          <w14:textFill>
            <w14:solidFill>
              <w14:srgbClr w14:val="212121"/>
            </w14:solidFill>
          </w14:textFill>
        </w:rPr>
      </w:pPr>
      <w:r>
        <w:rPr>
          <w:rStyle w:val="Ninguno"/>
          <w:rFonts w:ascii="Times New Roman" w:hAnsi="Times New Roman"/>
          <w:outline w:val="0"/>
          <w:color w:val="212121"/>
          <w:kern w:val="0"/>
          <w:u w:color="212121"/>
          <w:rtl w:val="0"/>
          <w:lang w:val="en-US"/>
          <w14:textFill>
            <w14:solidFill>
              <w14:srgbClr w14:val="212121"/>
            </w14:solidFill>
          </w14:textFill>
        </w:rPr>
        <w:t>In Madrid, December 3, 2024.</w:t>
      </w:r>
    </w:p>
    <w:p>
      <w:pPr>
        <w:pStyle w:val="Cuerpo"/>
        <w:ind w:firstLine="708"/>
        <w:jc w:val="both"/>
        <w:rPr>
          <w:rStyle w:val="Ninguno"/>
          <w:rFonts w:ascii="Times New Roman" w:cs="Times New Roman" w:hAnsi="Times New Roman" w:eastAsia="Times New Roman"/>
        </w:rPr>
      </w:pPr>
    </w:p>
    <w:p>
      <w:pPr>
        <w:pStyle w:val="Cuerpo"/>
        <w:ind w:firstLine="708"/>
        <w:jc w:val="both"/>
        <w:rPr>
          <w:rStyle w:val="Ninguno"/>
          <w:rFonts w:ascii="Times New Roman" w:cs="Times New Roman" w:hAnsi="Times New Roman" w:eastAsia="Times New Roman"/>
        </w:rPr>
      </w:pPr>
    </w:p>
    <w:p>
      <w:pPr>
        <w:pStyle w:val="Cuerpo"/>
        <w:ind w:firstLine="708"/>
        <w:jc w:val="both"/>
      </w:pPr>
      <w:r>
        <w:rPr>
          <w:rStyle w:val="Ninguno"/>
          <w:rFonts w:ascii="Times New Roman" w:cs="Times New Roman" w:hAnsi="Times New Roman" w:eastAsia="Times New Roman"/>
        </w:rPr>
      </w:r>
    </w:p>
    <w:sectPr>
      <w:headerReference w:type="default" r:id="rId4"/>
      <w:footerReference w:type="default" r:id="rId5"/>
      <w:pgSz w:w="11900" w:h="16840" w:orient="portrait"/>
      <w:pgMar w:top="1417" w:right="1701" w:bottom="1417"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478"/>
        <w:tab w:val="clear" w:pos="8504"/>
      </w:tabs>
      <w:jc w:val="right"/>
    </w:pPr>
    <w:r>
      <w:drawing xmlns:a="http://schemas.openxmlformats.org/drawingml/2006/main">
        <wp:anchor distT="152400" distB="152400" distL="152400" distR="152400" simplePos="0" relativeHeight="251658240" behindDoc="1" locked="0" layoutInCell="1" allowOverlap="1">
          <wp:simplePos x="0" y="0"/>
          <wp:positionH relativeFrom="page">
            <wp:posOffset>755650</wp:posOffset>
          </wp:positionH>
          <wp:positionV relativeFrom="page">
            <wp:posOffset>355600</wp:posOffset>
          </wp:positionV>
          <wp:extent cx="1053877" cy="825500"/>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1">
                    <a:extLst/>
                  </a:blip>
                  <a:stretch>
                    <a:fillRect/>
                  </a:stretch>
                </pic:blipFill>
                <pic:spPr>
                  <a:xfrm>
                    <a:off x="0" y="0"/>
                    <a:ext cx="1053877" cy="825500"/>
                  </a:xfrm>
                  <a:prstGeom prst="rect">
                    <a:avLst/>
                  </a:prstGeom>
                  <a:ln w="12700" cap="flat">
                    <a:noFill/>
                    <a:miter lim="400000"/>
                  </a:ln>
                  <a:effectLst/>
                </pic:spPr>
              </pic:pic>
            </a:graphicData>
          </a:graphic>
        </wp:anchor>
      </w:drawing>
    </w:r>
    <w:r>
      <w:rPr>
        <w:rStyle w:val="Ninguno"/>
      </w:rPr>
      <w:drawing xmlns:a="http://schemas.openxmlformats.org/drawingml/2006/main">
        <wp:inline distT="0" distB="0" distL="0" distR="0">
          <wp:extent cx="1341120" cy="768350"/>
          <wp:effectExtent l="0" t="0" r="0" b="0"/>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2">
                    <a:extLst/>
                  </a:blip>
                  <a:stretch>
                    <a:fillRect/>
                  </a:stretch>
                </pic:blipFill>
                <pic:spPr>
                  <a:xfrm>
                    <a:off x="0" y="0"/>
                    <a:ext cx="1341120" cy="7683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s-ES_tradnl"/>
      <w14:textFill>
        <w14:solidFill>
          <w14:srgbClr w14:val="000000"/>
        </w14:solidFill>
      </w14:textFill>
    </w:rPr>
  </w:style>
  <w:style w:type="character" w:styleId="Ninguno">
    <w:name w:val="Ninguno"/>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s-ES_tradnl"/>
      <w14:textOutline>
        <w14:noFill/>
      </w14:textOutline>
      <w14:textFill>
        <w14:solidFill>
          <w14:srgbClr w14:val="000000"/>
        </w14:solidFill>
      </w14:textFill>
    </w:rPr>
  </w:style>
  <w:style w:type="character" w:styleId="Enlace">
    <w:name w:val="Enlace"/>
    <w:rPr>
      <w:outline w:val="0"/>
      <w:color w:val="467886"/>
      <w:u w:val="single" w:color="467886"/>
      <w14:textFill>
        <w14:solidFill>
          <w14:srgbClr w14:val="467886"/>
        </w14:solidFill>
      </w14:textFill>
    </w:rPr>
  </w:style>
  <w:style w:type="character" w:styleId="Hyperlink.0">
    <w:name w:val="Hyperlink.0"/>
    <w:basedOn w:val="Enlace"/>
    <w:next w:val="Hyperlink.0"/>
    <w:rPr>
      <w:rFonts w:ascii="Times New Roman" w:cs="Times New Roman" w:hAnsi="Times New Roman" w:eastAsia="Times New Roman"/>
      <w:kern w:val="0"/>
    </w:r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